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DC266" w14:textId="53600171" w:rsidR="00D463FC" w:rsidRPr="00BE56A3" w:rsidRDefault="00D463FC" w:rsidP="00D463FC">
      <w:pPr>
        <w:jc w:val="center"/>
        <w:rPr>
          <w:rFonts w:ascii="Open Sans" w:hAnsi="Open Sans" w:cs="Open Sans"/>
          <w:sz w:val="56"/>
          <w:szCs w:val="56"/>
        </w:rPr>
      </w:pPr>
      <w:r>
        <w:rPr>
          <w:rFonts w:ascii="Open Sans" w:hAnsi="Open Sans"/>
          <w:color w:val="00B297"/>
          <w:sz w:val="56"/>
        </w:rPr>
        <w:t xml:space="preserve">Ajuda em dinheiro </w:t>
      </w:r>
      <w:r>
        <w:rPr>
          <w:rFonts w:ascii="Open Sans" w:hAnsi="Open Sans"/>
          <w:sz w:val="56"/>
        </w:rPr>
        <w:t>Atividade 2</w:t>
      </w:r>
    </w:p>
    <w:p w14:paraId="24810C5B" w14:textId="557F2BE7" w:rsidR="00EB57E8" w:rsidRPr="00BE56A3" w:rsidRDefault="00D463FC" w:rsidP="00D463FC">
      <w:pPr>
        <w:jc w:val="center"/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</w:rPr>
      </w:pPr>
      <w:r>
        <w:rPr>
          <w:rFonts w:ascii="Open Sans" w:hAnsi="Open Sans"/>
          <w:color w:val="00B297"/>
          <w:sz w:val="56"/>
        </w:rPr>
        <w:t>Folha de respostas</w:t>
      </w:r>
    </w:p>
    <w:p w14:paraId="05C3D681" w14:textId="77777777" w:rsidR="00D463FC" w:rsidRPr="00BE56A3" w:rsidRDefault="00D463FC">
      <w:pPr>
        <w:rPr>
          <w:rFonts w:ascii="Open Sans" w:hAnsi="Open Sans" w:cs="Open Sans"/>
        </w:rPr>
      </w:pP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2340"/>
        <w:gridCol w:w="7020"/>
      </w:tblGrid>
      <w:tr w:rsidR="00D463FC" w:rsidRPr="00BE56A3" w14:paraId="187C219B" w14:textId="77777777" w:rsidTr="0059173F">
        <w:trPr>
          <w:tblHeader/>
        </w:trPr>
        <w:tc>
          <w:tcPr>
            <w:tcW w:w="2340" w:type="dxa"/>
            <w:shd w:val="clear" w:color="auto" w:fill="DBDBDB" w:themeFill="accent3" w:themeFillTint="66"/>
            <w:vAlign w:val="center"/>
          </w:tcPr>
          <w:p w14:paraId="4508C55D" w14:textId="71E08C88" w:rsidR="00D463FC" w:rsidRPr="00BE56A3" w:rsidRDefault="00D463FC" w:rsidP="009573E6">
            <w:pPr>
              <w:spacing w:before="60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t xml:space="preserve">Tipo de </w:t>
            </w:r>
            <w:r w:rsidR="006133E7">
              <w:rPr>
                <w:rFonts w:ascii="Open Sans" w:hAnsi="Open Sans"/>
                <w:b/>
                <w:sz w:val="22"/>
              </w:rPr>
              <w:t>ajuda em dinheiro</w:t>
            </w:r>
          </w:p>
        </w:tc>
        <w:tc>
          <w:tcPr>
            <w:tcW w:w="7020" w:type="dxa"/>
            <w:shd w:val="clear" w:color="auto" w:fill="DBDBDB" w:themeFill="accent3" w:themeFillTint="66"/>
          </w:tcPr>
          <w:p w14:paraId="7C886AF5" w14:textId="25243C98" w:rsidR="00D463FC" w:rsidRPr="00BE56A3" w:rsidRDefault="00D463FC" w:rsidP="009573E6">
            <w:pPr>
              <w:spacing w:before="60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t>Descrição/exemplo</w:t>
            </w:r>
          </w:p>
        </w:tc>
      </w:tr>
      <w:tr w:rsidR="00D463FC" w:rsidRPr="00BE56A3" w14:paraId="711411E9" w14:textId="77777777" w:rsidTr="00BE56A3">
        <w:trPr>
          <w:cantSplit/>
        </w:trPr>
        <w:tc>
          <w:tcPr>
            <w:tcW w:w="2340" w:type="dxa"/>
            <w:vAlign w:val="center"/>
          </w:tcPr>
          <w:p w14:paraId="6D2200A9" w14:textId="31FB2138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Várias finalidades</w:t>
            </w:r>
          </w:p>
        </w:tc>
        <w:tc>
          <w:tcPr>
            <w:tcW w:w="7020" w:type="dxa"/>
          </w:tcPr>
          <w:p w14:paraId="4C804CEE" w14:textId="1F14DC45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 xml:space="preserve">As pessoas afetadas por uma crise recebem uma subvenção pecuniária para várias finalidades, por exemplo, </w:t>
            </w:r>
            <w:r w:rsidR="008B25B1">
              <w:rPr>
                <w:rFonts w:ascii="Open Sans" w:hAnsi="Open Sans"/>
                <w:sz w:val="28"/>
              </w:rPr>
              <w:t>um</w:t>
            </w:r>
            <w:r>
              <w:rPr>
                <w:rFonts w:ascii="Open Sans" w:hAnsi="Open Sans"/>
                <w:sz w:val="28"/>
              </w:rPr>
              <w:t xml:space="preserve"> subsídio de subsistência, </w:t>
            </w:r>
            <w:r w:rsidR="008B25B1">
              <w:rPr>
                <w:rFonts w:ascii="Open Sans" w:hAnsi="Open Sans"/>
                <w:sz w:val="28"/>
              </w:rPr>
              <w:t xml:space="preserve">que lhes </w:t>
            </w:r>
            <w:r>
              <w:rPr>
                <w:rFonts w:ascii="Open Sans" w:hAnsi="Open Sans"/>
                <w:sz w:val="28"/>
              </w:rPr>
              <w:t>permit</w:t>
            </w:r>
            <w:r w:rsidR="008B25B1">
              <w:rPr>
                <w:rFonts w:ascii="Open Sans" w:hAnsi="Open Sans"/>
                <w:sz w:val="28"/>
              </w:rPr>
              <w:t>a</w:t>
            </w:r>
            <w:r>
              <w:rPr>
                <w:rFonts w:ascii="Open Sans" w:hAnsi="Open Sans"/>
                <w:sz w:val="28"/>
              </w:rPr>
              <w:t xml:space="preserve"> satisfazer as suas próprias necessidades através dos mercados existentes, da forma que desejarem.</w:t>
            </w:r>
          </w:p>
        </w:tc>
      </w:tr>
      <w:tr w:rsidR="00D463FC" w:rsidRPr="00BE56A3" w14:paraId="070E9DEB" w14:textId="77777777" w:rsidTr="00BE56A3">
        <w:trPr>
          <w:cantSplit/>
        </w:trPr>
        <w:tc>
          <w:tcPr>
            <w:tcW w:w="2340" w:type="dxa"/>
            <w:vAlign w:val="center"/>
          </w:tcPr>
          <w:p w14:paraId="2A00147A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Abrigo</w:t>
            </w:r>
          </w:p>
        </w:tc>
        <w:tc>
          <w:tcPr>
            <w:tcW w:w="7020" w:type="dxa"/>
          </w:tcPr>
          <w:p w14:paraId="601E5779" w14:textId="568D185B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As pessoas afetadas por uma crise recebem dinheiro/</w:t>
            </w:r>
            <w:r w:rsidR="007F0B18">
              <w:rPr>
                <w:rFonts w:ascii="Open Sans" w:hAnsi="Open Sans"/>
                <w:sz w:val="28"/>
              </w:rPr>
              <w:t>vale</w:t>
            </w:r>
            <w:r>
              <w:rPr>
                <w:rFonts w:ascii="Open Sans" w:hAnsi="Open Sans"/>
                <w:sz w:val="28"/>
              </w:rPr>
              <w:t>s para construir ou renovar um abrigo, ou para pagar a sua renda.</w:t>
            </w:r>
          </w:p>
        </w:tc>
      </w:tr>
      <w:tr w:rsidR="00D463FC" w:rsidRPr="00BE56A3" w14:paraId="72BB50D8" w14:textId="77777777" w:rsidTr="00BE56A3">
        <w:trPr>
          <w:cantSplit/>
        </w:trPr>
        <w:tc>
          <w:tcPr>
            <w:tcW w:w="2340" w:type="dxa"/>
            <w:vAlign w:val="center"/>
          </w:tcPr>
          <w:p w14:paraId="56CCF57F" w14:textId="1FBB067E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Segurança alimentar</w:t>
            </w:r>
          </w:p>
        </w:tc>
        <w:tc>
          <w:tcPr>
            <w:tcW w:w="7020" w:type="dxa"/>
          </w:tcPr>
          <w:p w14:paraId="0FF2DAA9" w14:textId="40D8671B" w:rsidR="00D463FC" w:rsidRPr="00DD5788" w:rsidRDefault="00F80287" w:rsidP="009573E6">
            <w:pPr>
              <w:spacing w:before="60"/>
              <w:rPr>
                <w:rFonts w:ascii="Open Sans" w:hAnsi="Open Sans"/>
                <w:sz w:val="28"/>
              </w:rPr>
            </w:pPr>
            <w:r>
              <w:rPr>
                <w:rFonts w:ascii="Open Sans" w:hAnsi="Open Sans"/>
                <w:sz w:val="28"/>
              </w:rPr>
              <w:t>As pessoas afetadas por uma crise recebem dinheiro/</w:t>
            </w:r>
            <w:r w:rsidR="007F0B18">
              <w:rPr>
                <w:rFonts w:ascii="Open Sans" w:hAnsi="Open Sans"/>
                <w:sz w:val="28"/>
              </w:rPr>
              <w:t>vale</w:t>
            </w:r>
            <w:r>
              <w:rPr>
                <w:rFonts w:ascii="Open Sans" w:hAnsi="Open Sans"/>
                <w:sz w:val="28"/>
              </w:rPr>
              <w:t>s para comprar alimentos, sementes para plantar</w:t>
            </w:r>
            <w:r w:rsidR="00DD5788">
              <w:rPr>
                <w:rFonts w:ascii="Open Sans" w:hAnsi="Open Sans"/>
                <w:sz w:val="28"/>
              </w:rPr>
              <w:t xml:space="preserve">, </w:t>
            </w:r>
            <w:r>
              <w:rPr>
                <w:rFonts w:ascii="Open Sans" w:hAnsi="Open Sans"/>
                <w:sz w:val="28"/>
              </w:rPr>
              <w:t>ou para satisfazer as suas necessidades nutricionais.</w:t>
            </w:r>
          </w:p>
        </w:tc>
      </w:tr>
      <w:tr w:rsidR="00D463FC" w:rsidRPr="00BE56A3" w14:paraId="4B7A9095" w14:textId="77777777" w:rsidTr="00BE56A3">
        <w:trPr>
          <w:cantSplit/>
        </w:trPr>
        <w:tc>
          <w:tcPr>
            <w:tcW w:w="2340" w:type="dxa"/>
            <w:vAlign w:val="center"/>
          </w:tcPr>
          <w:p w14:paraId="17196B4D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Meios de subsistência</w:t>
            </w:r>
          </w:p>
        </w:tc>
        <w:tc>
          <w:tcPr>
            <w:tcW w:w="7020" w:type="dxa"/>
          </w:tcPr>
          <w:p w14:paraId="45363420" w14:textId="3E727E1D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As pessoas afetadas por uma crise recebem subvenções para a criação de empresas, ou dinheiro para pagar a</w:t>
            </w:r>
            <w:r w:rsidR="00DD5788">
              <w:rPr>
                <w:rFonts w:ascii="Open Sans" w:hAnsi="Open Sans"/>
                <w:sz w:val="28"/>
              </w:rPr>
              <w:t xml:space="preserve">utorizações </w:t>
            </w:r>
            <w:r>
              <w:rPr>
                <w:rFonts w:ascii="Open Sans" w:hAnsi="Open Sans"/>
                <w:sz w:val="28"/>
              </w:rPr>
              <w:t>de trabalho.</w:t>
            </w:r>
          </w:p>
        </w:tc>
      </w:tr>
      <w:tr w:rsidR="00D463FC" w:rsidRPr="00BE56A3" w14:paraId="255DA630" w14:textId="77777777" w:rsidTr="00BE56A3">
        <w:trPr>
          <w:cantSplit/>
        </w:trPr>
        <w:tc>
          <w:tcPr>
            <w:tcW w:w="2340" w:type="dxa"/>
            <w:vAlign w:val="center"/>
          </w:tcPr>
          <w:p w14:paraId="38097F9E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Energia</w:t>
            </w:r>
          </w:p>
        </w:tc>
        <w:tc>
          <w:tcPr>
            <w:tcW w:w="7020" w:type="dxa"/>
          </w:tcPr>
          <w:p w14:paraId="5F71A1EB" w14:textId="777D0B1C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As pessoas afetadas por uma crise recebem dinheiro/</w:t>
            </w:r>
            <w:r w:rsidR="007F0B18">
              <w:rPr>
                <w:rFonts w:ascii="Open Sans" w:hAnsi="Open Sans"/>
                <w:sz w:val="28"/>
              </w:rPr>
              <w:t>vale</w:t>
            </w:r>
            <w:r>
              <w:rPr>
                <w:rFonts w:ascii="Open Sans" w:hAnsi="Open Sans"/>
                <w:sz w:val="28"/>
              </w:rPr>
              <w:t xml:space="preserve">s para </w:t>
            </w:r>
            <w:r w:rsidR="00005626">
              <w:rPr>
                <w:rFonts w:ascii="Open Sans" w:hAnsi="Open Sans"/>
                <w:sz w:val="28"/>
              </w:rPr>
              <w:t>adquirir</w:t>
            </w:r>
            <w:r w:rsidR="00DD5788">
              <w:rPr>
                <w:rFonts w:ascii="Open Sans" w:hAnsi="Open Sans"/>
                <w:sz w:val="28"/>
              </w:rPr>
              <w:t xml:space="preserve"> </w:t>
            </w:r>
            <w:r>
              <w:rPr>
                <w:rFonts w:ascii="Open Sans" w:hAnsi="Open Sans"/>
                <w:sz w:val="28"/>
              </w:rPr>
              <w:t xml:space="preserve">energia (combustível, iluminação, eletricidade) ou artigos </w:t>
            </w:r>
            <w:r w:rsidR="00DD5788">
              <w:rPr>
                <w:rFonts w:ascii="Open Sans" w:hAnsi="Open Sans"/>
                <w:sz w:val="28"/>
              </w:rPr>
              <w:t xml:space="preserve">que produzam </w:t>
            </w:r>
            <w:r>
              <w:rPr>
                <w:rFonts w:ascii="Open Sans" w:hAnsi="Open Sans"/>
                <w:sz w:val="28"/>
              </w:rPr>
              <w:t>energi</w:t>
            </w:r>
            <w:r w:rsidR="00DD5788">
              <w:rPr>
                <w:rFonts w:ascii="Open Sans" w:hAnsi="Open Sans"/>
                <w:sz w:val="28"/>
              </w:rPr>
              <w:t>a</w:t>
            </w:r>
            <w:r>
              <w:rPr>
                <w:rFonts w:ascii="Open Sans" w:hAnsi="Open Sans"/>
                <w:sz w:val="28"/>
              </w:rPr>
              <w:t xml:space="preserve"> (tais como fogões e lanternas) para </w:t>
            </w:r>
            <w:r w:rsidR="00DD5788">
              <w:rPr>
                <w:rFonts w:ascii="Open Sans" w:hAnsi="Open Sans"/>
                <w:sz w:val="28"/>
              </w:rPr>
              <w:t>cozinhar, para aquecimento</w:t>
            </w:r>
            <w:r>
              <w:rPr>
                <w:rFonts w:ascii="Open Sans" w:hAnsi="Open Sans"/>
                <w:sz w:val="28"/>
              </w:rPr>
              <w:t xml:space="preserve"> ou iluminação.</w:t>
            </w:r>
          </w:p>
        </w:tc>
      </w:tr>
      <w:tr w:rsidR="00D463FC" w:rsidRPr="00BE56A3" w14:paraId="0601738B" w14:textId="77777777" w:rsidTr="00BE56A3">
        <w:trPr>
          <w:cantSplit/>
        </w:trPr>
        <w:tc>
          <w:tcPr>
            <w:tcW w:w="2340" w:type="dxa"/>
            <w:vAlign w:val="center"/>
          </w:tcPr>
          <w:p w14:paraId="14BD55E8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Saúde</w:t>
            </w:r>
          </w:p>
        </w:tc>
        <w:tc>
          <w:tcPr>
            <w:tcW w:w="7020" w:type="dxa"/>
          </w:tcPr>
          <w:p w14:paraId="3E957049" w14:textId="39BA8383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As pessoas afetadas por uma crise recebem dinheiro/</w:t>
            </w:r>
            <w:r w:rsidR="007F0B18">
              <w:rPr>
                <w:rFonts w:ascii="Open Sans" w:hAnsi="Open Sans"/>
                <w:sz w:val="28"/>
              </w:rPr>
              <w:t>vale</w:t>
            </w:r>
            <w:r>
              <w:rPr>
                <w:rFonts w:ascii="Open Sans" w:hAnsi="Open Sans"/>
                <w:sz w:val="28"/>
              </w:rPr>
              <w:t>s que lhes permit</w:t>
            </w:r>
            <w:r w:rsidR="00DD5788">
              <w:rPr>
                <w:rFonts w:ascii="Open Sans" w:hAnsi="Open Sans"/>
                <w:sz w:val="28"/>
              </w:rPr>
              <w:t>a</w:t>
            </w:r>
            <w:r>
              <w:rPr>
                <w:rFonts w:ascii="Open Sans" w:hAnsi="Open Sans"/>
                <w:sz w:val="28"/>
              </w:rPr>
              <w:t>m pagar despesas médicas predefinidas, tais como medicamentos ou transporte de e para um hospital ou clínica.</w:t>
            </w:r>
          </w:p>
        </w:tc>
      </w:tr>
      <w:tr w:rsidR="00D463FC" w:rsidRPr="00BE56A3" w14:paraId="197FFCF3" w14:textId="77777777" w:rsidTr="00BE56A3">
        <w:trPr>
          <w:cantSplit/>
        </w:trPr>
        <w:tc>
          <w:tcPr>
            <w:tcW w:w="2340" w:type="dxa"/>
            <w:vAlign w:val="center"/>
          </w:tcPr>
          <w:p w14:paraId="00BA58DE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lastRenderedPageBreak/>
              <w:t>Educação</w:t>
            </w:r>
          </w:p>
        </w:tc>
        <w:tc>
          <w:tcPr>
            <w:tcW w:w="7020" w:type="dxa"/>
          </w:tcPr>
          <w:p w14:paraId="07EFE710" w14:textId="170A2E16" w:rsidR="00D5234E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Os estudantes ou cuidadores recebem dinheiro/</w:t>
            </w:r>
            <w:r w:rsidR="007F0B18">
              <w:rPr>
                <w:rFonts w:ascii="Open Sans" w:hAnsi="Open Sans"/>
                <w:sz w:val="28"/>
              </w:rPr>
              <w:t>vale</w:t>
            </w:r>
            <w:r>
              <w:rPr>
                <w:rFonts w:ascii="Open Sans" w:hAnsi="Open Sans"/>
                <w:sz w:val="28"/>
              </w:rPr>
              <w:t>s para pagar propinas escolares, material escolar ou alojamento na universidade; os cuidadores recebem dinheiro/</w:t>
            </w:r>
            <w:r w:rsidR="007F0B18">
              <w:rPr>
                <w:rFonts w:ascii="Open Sans" w:hAnsi="Open Sans"/>
                <w:sz w:val="28"/>
              </w:rPr>
              <w:t>vale</w:t>
            </w:r>
            <w:r>
              <w:rPr>
                <w:rFonts w:ascii="Open Sans" w:hAnsi="Open Sans"/>
                <w:sz w:val="28"/>
              </w:rPr>
              <w:t>s</w:t>
            </w:r>
            <w:r w:rsidR="00015C38">
              <w:rPr>
                <w:rFonts w:ascii="Open Sans" w:hAnsi="Open Sans"/>
                <w:sz w:val="28"/>
              </w:rPr>
              <w:t>,</w:t>
            </w:r>
            <w:r>
              <w:rPr>
                <w:rFonts w:ascii="Open Sans" w:hAnsi="Open Sans"/>
                <w:sz w:val="28"/>
              </w:rPr>
              <w:t xml:space="preserve"> na condição de matricularem as crianças na escola.</w:t>
            </w:r>
          </w:p>
        </w:tc>
      </w:tr>
      <w:tr w:rsidR="00D463FC" w:rsidRPr="00BE56A3" w14:paraId="3606EB6E" w14:textId="77777777" w:rsidTr="00BE56A3">
        <w:trPr>
          <w:cantSplit/>
        </w:trPr>
        <w:tc>
          <w:tcPr>
            <w:tcW w:w="2340" w:type="dxa"/>
            <w:vAlign w:val="center"/>
          </w:tcPr>
          <w:p w14:paraId="5E17B4BB" w14:textId="66ED668B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Repatriamento voluntário (soluções duradouras)</w:t>
            </w:r>
          </w:p>
        </w:tc>
        <w:tc>
          <w:tcPr>
            <w:tcW w:w="7020" w:type="dxa"/>
          </w:tcPr>
          <w:p w14:paraId="4E7D3FD7" w14:textId="368A5D8B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As pessoas afetadas por uma crise recebem dinheiro/</w:t>
            </w:r>
            <w:r w:rsidR="007F0B18">
              <w:rPr>
                <w:rFonts w:ascii="Open Sans" w:hAnsi="Open Sans"/>
                <w:sz w:val="28"/>
              </w:rPr>
              <w:t>vale</w:t>
            </w:r>
            <w:r>
              <w:rPr>
                <w:rFonts w:ascii="Open Sans" w:hAnsi="Open Sans"/>
                <w:sz w:val="28"/>
              </w:rPr>
              <w:t>s para pagar o transporte, documentação, taxas administrativas, ou outras necessidades no regresso ao seu país de origem.</w:t>
            </w:r>
          </w:p>
        </w:tc>
      </w:tr>
      <w:tr w:rsidR="00D463FC" w:rsidRPr="00BE56A3" w14:paraId="6C474A93" w14:textId="77777777" w:rsidTr="00BE56A3">
        <w:trPr>
          <w:cantSplit/>
        </w:trPr>
        <w:tc>
          <w:tcPr>
            <w:tcW w:w="2340" w:type="dxa"/>
            <w:vAlign w:val="center"/>
          </w:tcPr>
          <w:p w14:paraId="4282AA03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WASH</w:t>
            </w:r>
          </w:p>
        </w:tc>
        <w:tc>
          <w:tcPr>
            <w:tcW w:w="7020" w:type="dxa"/>
          </w:tcPr>
          <w:p w14:paraId="29C100C5" w14:textId="7C96C1AE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As pessoas afetadas por uma crise recebem dinheiro/</w:t>
            </w:r>
            <w:r w:rsidR="007F0B18">
              <w:rPr>
                <w:rFonts w:ascii="Open Sans" w:hAnsi="Open Sans"/>
                <w:sz w:val="28"/>
              </w:rPr>
              <w:t>vale</w:t>
            </w:r>
            <w:r>
              <w:rPr>
                <w:rFonts w:ascii="Open Sans" w:hAnsi="Open Sans"/>
                <w:sz w:val="28"/>
              </w:rPr>
              <w:t>s para comprar produtos de higiene tais como sabão, cloro, ou pensos higiénicos</w:t>
            </w:r>
            <w:r w:rsidR="00015C38">
              <w:rPr>
                <w:rFonts w:ascii="Open Sans" w:hAnsi="Open Sans"/>
                <w:sz w:val="28"/>
              </w:rPr>
              <w:t>,</w:t>
            </w:r>
            <w:r>
              <w:rPr>
                <w:rFonts w:ascii="Open Sans" w:hAnsi="Open Sans"/>
                <w:sz w:val="28"/>
              </w:rPr>
              <w:t xml:space="preserve"> para satisfazer as suas necessidades.</w:t>
            </w:r>
          </w:p>
        </w:tc>
      </w:tr>
      <w:tr w:rsidR="00D463FC" w:rsidRPr="00BE56A3" w14:paraId="23F44044" w14:textId="77777777" w:rsidTr="00BE56A3">
        <w:trPr>
          <w:cantSplit/>
        </w:trPr>
        <w:tc>
          <w:tcPr>
            <w:tcW w:w="2340" w:type="dxa"/>
            <w:vAlign w:val="center"/>
          </w:tcPr>
          <w:p w14:paraId="0604CE69" w14:textId="7777777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  <w:highlight w:val="yellow"/>
              </w:rPr>
            </w:pPr>
            <w:r>
              <w:rPr>
                <w:rFonts w:ascii="Open Sans" w:hAnsi="Open Sans"/>
                <w:sz w:val="28"/>
              </w:rPr>
              <w:t>Proteção</w:t>
            </w:r>
          </w:p>
        </w:tc>
        <w:tc>
          <w:tcPr>
            <w:tcW w:w="7020" w:type="dxa"/>
          </w:tcPr>
          <w:p w14:paraId="016F3FEE" w14:textId="03682E76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  <w:highlight w:val="yellow"/>
              </w:rPr>
            </w:pPr>
            <w:r>
              <w:rPr>
                <w:rFonts w:ascii="Open Sans" w:hAnsi="Open Sans"/>
                <w:sz w:val="28"/>
              </w:rPr>
              <w:t>As pessoas afetadas por uma crise recebem dinheiro/</w:t>
            </w:r>
            <w:r w:rsidR="007F0B18">
              <w:rPr>
                <w:rFonts w:ascii="Open Sans" w:hAnsi="Open Sans"/>
                <w:sz w:val="28"/>
              </w:rPr>
              <w:t>vale</w:t>
            </w:r>
            <w:r>
              <w:rPr>
                <w:rFonts w:ascii="Open Sans" w:hAnsi="Open Sans"/>
                <w:sz w:val="28"/>
              </w:rPr>
              <w:t>s para pagar as necessidades relacionadas com proteção, tais como o transporte seguro dos seus filhos de e para as escolas</w:t>
            </w:r>
            <w:r w:rsidR="008B25B1">
              <w:rPr>
                <w:rFonts w:ascii="Open Sans" w:hAnsi="Open Sans"/>
                <w:sz w:val="28"/>
              </w:rPr>
              <w:t xml:space="preserve"> situadas</w:t>
            </w:r>
            <w:r>
              <w:rPr>
                <w:rFonts w:ascii="Open Sans" w:hAnsi="Open Sans"/>
                <w:sz w:val="28"/>
              </w:rPr>
              <w:t xml:space="preserve"> num ambiente inseguro.</w:t>
            </w:r>
          </w:p>
        </w:tc>
      </w:tr>
      <w:tr w:rsidR="00D463FC" w:rsidRPr="00BE56A3" w14:paraId="06886AA7" w14:textId="77777777" w:rsidTr="00BE56A3">
        <w:trPr>
          <w:cantSplit/>
        </w:trPr>
        <w:tc>
          <w:tcPr>
            <w:tcW w:w="2340" w:type="dxa"/>
            <w:vAlign w:val="center"/>
          </w:tcPr>
          <w:p w14:paraId="6C522A06" w14:textId="0150489F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Apoio jurídico</w:t>
            </w:r>
          </w:p>
        </w:tc>
        <w:tc>
          <w:tcPr>
            <w:tcW w:w="7020" w:type="dxa"/>
          </w:tcPr>
          <w:p w14:paraId="27230BCC" w14:textId="198A9191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As pessoas afetadas por uma crise recebem dinheiro/</w:t>
            </w:r>
            <w:r w:rsidR="007F0B18">
              <w:rPr>
                <w:rFonts w:ascii="Open Sans" w:hAnsi="Open Sans"/>
                <w:sz w:val="28"/>
              </w:rPr>
              <w:t>vale</w:t>
            </w:r>
            <w:r>
              <w:rPr>
                <w:rFonts w:ascii="Open Sans" w:hAnsi="Open Sans"/>
                <w:sz w:val="28"/>
              </w:rPr>
              <w:t xml:space="preserve">s para pagarem elas próprias os </w:t>
            </w:r>
            <w:r w:rsidR="008B25B1">
              <w:rPr>
                <w:rFonts w:ascii="Open Sans" w:hAnsi="Open Sans"/>
                <w:sz w:val="28"/>
              </w:rPr>
              <w:t xml:space="preserve">seus </w:t>
            </w:r>
            <w:r>
              <w:rPr>
                <w:rFonts w:ascii="Open Sans" w:hAnsi="Open Sans"/>
                <w:sz w:val="28"/>
              </w:rPr>
              <w:t>serviços jurídicos.</w:t>
            </w:r>
          </w:p>
        </w:tc>
      </w:tr>
      <w:tr w:rsidR="00D463FC" w:rsidRPr="00BE56A3" w14:paraId="077CE98A" w14:textId="77777777" w:rsidTr="00BE56A3">
        <w:trPr>
          <w:cantSplit/>
        </w:trPr>
        <w:tc>
          <w:tcPr>
            <w:tcW w:w="2340" w:type="dxa"/>
            <w:vAlign w:val="center"/>
          </w:tcPr>
          <w:p w14:paraId="3A703E78" w14:textId="4C4B1EF9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Dinheiro por trabalho</w:t>
            </w:r>
          </w:p>
        </w:tc>
        <w:tc>
          <w:tcPr>
            <w:tcW w:w="7020" w:type="dxa"/>
          </w:tcPr>
          <w:p w14:paraId="7F19451A" w14:textId="3AD518BE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As pessoas afetadas por uma crise recebem dinheiro/</w:t>
            </w:r>
            <w:r w:rsidR="007F0B18">
              <w:rPr>
                <w:rFonts w:ascii="Open Sans" w:hAnsi="Open Sans"/>
                <w:sz w:val="28"/>
              </w:rPr>
              <w:t>vale</w:t>
            </w:r>
            <w:r>
              <w:rPr>
                <w:rFonts w:ascii="Open Sans" w:hAnsi="Open Sans"/>
                <w:sz w:val="28"/>
              </w:rPr>
              <w:t>s depois de fazerem trabalhos temporários e não qualificados para projetos comunitários (tais como construir estradas, escavar latrinas ou canais de irrigação, e ajudar na reconstrução de casas e locais públicos afetados pela crise).</w:t>
            </w:r>
          </w:p>
        </w:tc>
      </w:tr>
      <w:tr w:rsidR="00D463FC" w:rsidRPr="00BE56A3" w14:paraId="6DF6E95B" w14:textId="77777777" w:rsidTr="00BE56A3">
        <w:trPr>
          <w:cantSplit/>
        </w:trPr>
        <w:tc>
          <w:tcPr>
            <w:tcW w:w="2340" w:type="dxa"/>
            <w:vAlign w:val="center"/>
          </w:tcPr>
          <w:p w14:paraId="5E18069B" w14:textId="03881067" w:rsidR="00D463FC" w:rsidRPr="00BE56A3" w:rsidRDefault="00D463FC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lastRenderedPageBreak/>
              <w:t>Dinheiro por formação</w:t>
            </w:r>
          </w:p>
        </w:tc>
        <w:tc>
          <w:tcPr>
            <w:tcW w:w="7020" w:type="dxa"/>
          </w:tcPr>
          <w:p w14:paraId="5AC26058" w14:textId="4C1148B4" w:rsidR="00D463FC" w:rsidRPr="00BE56A3" w:rsidRDefault="00F80287" w:rsidP="009573E6">
            <w:pPr>
              <w:spacing w:before="60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As pessoas afetadas por uma crise recebem dinheiro/</w:t>
            </w:r>
            <w:r w:rsidR="007F0B18">
              <w:rPr>
                <w:rFonts w:ascii="Open Sans" w:hAnsi="Open Sans"/>
                <w:sz w:val="28"/>
              </w:rPr>
              <w:t>vale</w:t>
            </w:r>
            <w:r>
              <w:rPr>
                <w:rFonts w:ascii="Open Sans" w:hAnsi="Open Sans"/>
                <w:sz w:val="28"/>
              </w:rPr>
              <w:t>s após participarem numa formação ou num workshop que contribu</w:t>
            </w:r>
            <w:r w:rsidR="00015C38">
              <w:rPr>
                <w:rFonts w:ascii="Open Sans" w:hAnsi="Open Sans"/>
                <w:sz w:val="28"/>
              </w:rPr>
              <w:t>a</w:t>
            </w:r>
            <w:r>
              <w:rPr>
                <w:rFonts w:ascii="Open Sans" w:hAnsi="Open Sans"/>
                <w:sz w:val="28"/>
              </w:rPr>
              <w:t xml:space="preserve"> para alcançar um objetivo do programa, tal como um workshop de transferência de competências para práticas de construção mais seguras ou outras competências profissionais.</w:t>
            </w:r>
          </w:p>
        </w:tc>
      </w:tr>
    </w:tbl>
    <w:p w14:paraId="34633CA6" w14:textId="77777777" w:rsidR="00D463FC" w:rsidRPr="00BE56A3" w:rsidRDefault="00D463FC">
      <w:pPr>
        <w:rPr>
          <w:rFonts w:ascii="Open Sans" w:hAnsi="Open Sans" w:cs="Open Sans"/>
        </w:rPr>
      </w:pPr>
    </w:p>
    <w:sectPr w:rsidR="00D463FC" w:rsidRPr="00BE56A3" w:rsidSect="0059173F">
      <w:pgSz w:w="11906" w:h="16838" w:code="9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FC"/>
    <w:rsid w:val="00005626"/>
    <w:rsid w:val="00015C38"/>
    <w:rsid w:val="000A7D24"/>
    <w:rsid w:val="000C2A10"/>
    <w:rsid w:val="004C05D0"/>
    <w:rsid w:val="005240AD"/>
    <w:rsid w:val="0059173F"/>
    <w:rsid w:val="006133E7"/>
    <w:rsid w:val="007F0B18"/>
    <w:rsid w:val="00883A5F"/>
    <w:rsid w:val="008B25B1"/>
    <w:rsid w:val="008F0DBF"/>
    <w:rsid w:val="009E1EBE"/>
    <w:rsid w:val="00A725D3"/>
    <w:rsid w:val="00B204E1"/>
    <w:rsid w:val="00B5606B"/>
    <w:rsid w:val="00BE56A3"/>
    <w:rsid w:val="00D463FC"/>
    <w:rsid w:val="00D5234E"/>
    <w:rsid w:val="00D664A1"/>
    <w:rsid w:val="00D86D2F"/>
    <w:rsid w:val="00DA6A7D"/>
    <w:rsid w:val="00DD5788"/>
    <w:rsid w:val="00E1685A"/>
    <w:rsid w:val="00E94B93"/>
    <w:rsid w:val="00EB57E8"/>
    <w:rsid w:val="00EF1F12"/>
    <w:rsid w:val="00F80287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F40F"/>
  <w15:chartTrackingRefBased/>
  <w15:docId w15:val="{483BA91A-1BB6-4E65-A708-73D61F0C0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3FC"/>
    <w:pPr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63FC"/>
    <w:pPr>
      <w:spacing w:after="12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2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2A1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2A10"/>
    <w:rPr>
      <w:rFonts w:ascii="Arial" w:eastAsia="Times New Roman" w:hAnsi="Arial" w:cs="Arial"/>
      <w:sz w:val="20"/>
      <w:szCs w:val="2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A10"/>
    <w:rPr>
      <w:rFonts w:ascii="Arial" w:eastAsia="Times New Roman" w:hAnsi="Arial" w:cs="Arial"/>
      <w:b/>
      <w:bCs/>
      <w:sz w:val="20"/>
      <w:szCs w:val="20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A10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A10"/>
    <w:rPr>
      <w:rFonts w:ascii="Times New Roman" w:eastAsia="Times New Roman" w:hAnsi="Times New Roman" w:cs="Times New Roman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743755-325E-4633-9E37-671334F5F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12A216-F248-4FC1-B32C-4479D95703C2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BF76DCC7-A0F9-4468-99F4-579929E144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447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17 CBA Activity 2 Answer Sheet</dc:title>
  <dc:subject>tradução de en-pt</dc:subject>
  <dc:creator>DeVon Solomon;Luísa Merki</dc:creator>
  <cp:keywords>2021107</cp:keywords>
  <dc:description/>
  <cp:lastModifiedBy>Luisa</cp:lastModifiedBy>
  <cp:revision>13</cp:revision>
  <dcterms:created xsi:type="dcterms:W3CDTF">2019-04-23T08:44:00Z</dcterms:created>
  <dcterms:modified xsi:type="dcterms:W3CDTF">2021-07-13T13:24:00Z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6890000</vt:r8>
  </property>
</Properties>
</file>